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8D" w:rsidRPr="000B1646" w:rsidRDefault="00290DEF" w:rsidP="00870384">
      <w:pPr>
        <w:spacing w:after="0" w:line="240" w:lineRule="auto"/>
        <w:contextualSpacing/>
        <w:rPr>
          <w:sz w:val="18"/>
          <w:szCs w:val="18"/>
        </w:rPr>
      </w:pPr>
      <w:r w:rsidRPr="000B1646">
        <w:rPr>
          <w:i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3686175</wp:posOffset>
            </wp:positionH>
            <wp:positionV relativeFrom="paragraph">
              <wp:posOffset>-571499</wp:posOffset>
            </wp:positionV>
            <wp:extent cx="2838450" cy="876300"/>
            <wp:effectExtent l="57150" t="38100" r="38100" b="19050"/>
            <wp:wrapNone/>
            <wp:docPr id="1" name="Picture 0" descr="b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763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06644" w:rsidRPr="00506644">
        <w:rPr>
          <w:i/>
          <w:noProof/>
          <w:sz w:val="18"/>
          <w:szCs w:val="18"/>
          <w:u w:val="single"/>
        </w:rPr>
        <w:pict>
          <v:rect id="_x0000_s1030" style="position:absolute;margin-left:24.75pt;margin-top:24pt;width:562.5pt;height:12pt;flip:y;z-index:251658239;mso-position-horizontal-relative:page;mso-position-vertical-relative:page" o:allowincell="f" fillcolor="black [3213]" strokecolor="black [3213]" strokeweight="2.25pt">
            <w10:wrap anchorx="page" anchory="page"/>
          </v:rect>
        </w:pict>
      </w:r>
      <w:r w:rsidR="00506644" w:rsidRPr="00506644">
        <w:rPr>
          <w:i/>
          <w:noProof/>
          <w:sz w:val="18"/>
          <w:szCs w:val="18"/>
          <w:u w:val="single"/>
        </w:rPr>
        <w:pict>
          <v:rect id="_x0000_s1027" style="position:absolute;margin-left:36pt;margin-top:36pt;width:540pt;height:724.1pt;z-index:251659264;mso-position-horizontal-relative:page;mso-position-vertical-relative:page" o:allowincell="f" filled="f" stroked="f" strokecolor="black [3213]" strokeweight="2.25pt">
            <w10:wrap anchorx="page" anchory="page"/>
          </v:rect>
        </w:pict>
      </w:r>
      <w:r w:rsidRPr="000B1646">
        <w:rPr>
          <w:i/>
          <w:sz w:val="18"/>
          <w:szCs w:val="18"/>
        </w:rPr>
        <w:t>Contract review:</w:t>
      </w:r>
    </w:p>
    <w:p w:rsidR="00D038AC" w:rsidRPr="001E3876" w:rsidRDefault="00D038AC" w:rsidP="00870384">
      <w:pPr>
        <w:spacing w:after="0" w:line="240" w:lineRule="auto"/>
        <w:contextualSpacing/>
        <w:rPr>
          <w:rFonts w:ascii="Calisto MT" w:hAnsi="Calisto MT"/>
          <w:b/>
          <w:sz w:val="27"/>
          <w:szCs w:val="27"/>
        </w:rPr>
      </w:pPr>
      <w:r w:rsidRPr="001E3876">
        <w:rPr>
          <w:rFonts w:ascii="Calisto MT" w:hAnsi="Calisto MT"/>
          <w:b/>
          <w:bCs/>
          <w:sz w:val="27"/>
          <w:szCs w:val="27"/>
        </w:rPr>
        <w:t>Navy SPAWAR Commercial off-The Shelf</w:t>
      </w:r>
      <w:r w:rsidR="00290DEF" w:rsidRPr="001E3876">
        <w:rPr>
          <w:rFonts w:ascii="Calisto MT" w:hAnsi="Calisto MT"/>
          <w:b/>
          <w:sz w:val="27"/>
          <w:szCs w:val="27"/>
        </w:rPr>
        <w:t xml:space="preserve"> </w:t>
      </w:r>
    </w:p>
    <w:p w:rsidR="003B7BE3" w:rsidRPr="001E3876" w:rsidRDefault="00D038AC" w:rsidP="00870384">
      <w:pPr>
        <w:spacing w:after="0" w:line="240" w:lineRule="auto"/>
        <w:contextualSpacing/>
        <w:rPr>
          <w:rFonts w:ascii="Calisto MT" w:hAnsi="Calisto MT"/>
          <w:b/>
          <w:sz w:val="27"/>
          <w:szCs w:val="27"/>
        </w:rPr>
      </w:pPr>
      <w:r w:rsidRPr="001E3876">
        <w:rPr>
          <w:rFonts w:ascii="Calisto MT" w:hAnsi="Calisto MT"/>
          <w:b/>
          <w:sz w:val="27"/>
          <w:szCs w:val="27"/>
        </w:rPr>
        <w:t>Communications Products (COTS)</w:t>
      </w:r>
      <w:r w:rsidR="00CE09DF" w:rsidRPr="001E3876">
        <w:rPr>
          <w:rFonts w:ascii="Calisto MT" w:hAnsi="Calisto MT"/>
          <w:b/>
          <w:sz w:val="27"/>
          <w:szCs w:val="27"/>
        </w:rPr>
        <w:t xml:space="preserve"> Contract</w:t>
      </w:r>
    </w:p>
    <w:p w:rsidR="003B7BE3" w:rsidRPr="000B1646" w:rsidRDefault="00506644" w:rsidP="00870384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55pt;margin-top:4.05pt;width:470.7pt;height:0;z-index:251661312" o:connectortype="straight"/>
        </w:pict>
      </w:r>
    </w:p>
    <w:p w:rsidR="003B7BE3" w:rsidRPr="000B1646" w:rsidRDefault="003B7BE3" w:rsidP="00870384">
      <w:pPr>
        <w:spacing w:after="0" w:line="240" w:lineRule="auto"/>
        <w:contextualSpacing/>
        <w:rPr>
          <w:b/>
          <w:sz w:val="18"/>
          <w:szCs w:val="18"/>
        </w:rPr>
        <w:sectPr w:rsidR="003B7BE3" w:rsidRPr="000B1646" w:rsidSect="00B70A0A">
          <w:footerReference w:type="default" r:id="rId9"/>
          <w:pgSz w:w="12240" w:h="15840"/>
          <w:pgMar w:top="1440" w:right="1440" w:bottom="99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290DEF" w:rsidRPr="00181CF2" w:rsidRDefault="00290DEF" w:rsidP="005F3DF8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81CF2">
        <w:rPr>
          <w:rFonts w:asciiTheme="minorHAnsi" w:hAnsiTheme="minorHAnsi" w:cs="Times New Roman"/>
          <w:b/>
          <w:bCs/>
          <w:sz w:val="22"/>
          <w:szCs w:val="22"/>
        </w:rPr>
        <w:lastRenderedPageBreak/>
        <w:t xml:space="preserve">Black Box provides </w:t>
      </w:r>
      <w:r w:rsidR="00CE09DF" w:rsidRPr="00181CF2">
        <w:rPr>
          <w:rFonts w:asciiTheme="minorHAnsi" w:hAnsiTheme="minorHAnsi" w:cs="Times New Roman"/>
          <w:b/>
          <w:bCs/>
          <w:sz w:val="22"/>
          <w:szCs w:val="22"/>
        </w:rPr>
        <w:t>rapid acquisition of</w:t>
      </w:r>
      <w:r w:rsidRPr="00181CF2">
        <w:rPr>
          <w:rFonts w:asciiTheme="minorHAnsi" w:hAnsiTheme="minorHAnsi" w:cs="Times New Roman"/>
          <w:b/>
          <w:bCs/>
          <w:sz w:val="22"/>
          <w:szCs w:val="22"/>
        </w:rPr>
        <w:t xml:space="preserve"> communications </w:t>
      </w:r>
      <w:r w:rsidR="00CE09DF" w:rsidRPr="00181CF2">
        <w:rPr>
          <w:rFonts w:asciiTheme="minorHAnsi" w:hAnsiTheme="minorHAnsi" w:cs="Times New Roman"/>
          <w:b/>
          <w:bCs/>
          <w:sz w:val="22"/>
          <w:szCs w:val="22"/>
        </w:rPr>
        <w:t xml:space="preserve">equipment </w:t>
      </w:r>
      <w:r w:rsidR="00E63941" w:rsidRPr="00181CF2">
        <w:rPr>
          <w:rFonts w:asciiTheme="minorHAnsi" w:hAnsiTheme="minorHAnsi" w:cs="Times New Roman"/>
          <w:b/>
          <w:bCs/>
          <w:sz w:val="22"/>
          <w:szCs w:val="22"/>
        </w:rPr>
        <w:t xml:space="preserve">and related incidental support services </w:t>
      </w:r>
      <w:r w:rsidRPr="00181CF2">
        <w:rPr>
          <w:rFonts w:asciiTheme="minorHAnsi" w:hAnsiTheme="minorHAnsi" w:cs="Times New Roman"/>
          <w:b/>
          <w:bCs/>
          <w:sz w:val="22"/>
          <w:szCs w:val="22"/>
        </w:rPr>
        <w:t xml:space="preserve">to </w:t>
      </w:r>
      <w:r w:rsidR="00CE09DF" w:rsidRPr="00181CF2">
        <w:rPr>
          <w:rFonts w:asciiTheme="minorHAnsi" w:hAnsiTheme="minorHAnsi" w:cs="Times New Roman"/>
          <w:b/>
          <w:bCs/>
          <w:sz w:val="22"/>
          <w:szCs w:val="22"/>
        </w:rPr>
        <w:t xml:space="preserve">U.S. Government </w:t>
      </w:r>
      <w:r w:rsidRPr="00181CF2">
        <w:rPr>
          <w:rFonts w:asciiTheme="minorHAnsi" w:hAnsiTheme="minorHAnsi" w:cs="Times New Roman"/>
          <w:b/>
          <w:bCs/>
          <w:sz w:val="22"/>
          <w:szCs w:val="22"/>
        </w:rPr>
        <w:t xml:space="preserve">customers </w:t>
      </w:r>
      <w:r w:rsidR="00CE09DF" w:rsidRPr="00181CF2">
        <w:rPr>
          <w:rFonts w:asciiTheme="minorHAnsi" w:hAnsiTheme="minorHAnsi" w:cs="Times New Roman"/>
          <w:b/>
          <w:bCs/>
          <w:sz w:val="22"/>
          <w:szCs w:val="22"/>
        </w:rPr>
        <w:t>worldwide</w:t>
      </w:r>
      <w:r w:rsidRPr="00181CF2">
        <w:rPr>
          <w:rFonts w:asciiTheme="minorHAnsi" w:hAnsiTheme="minorHAnsi" w:cs="Times New Roman"/>
          <w:b/>
          <w:bCs/>
          <w:sz w:val="22"/>
          <w:szCs w:val="22"/>
        </w:rPr>
        <w:t xml:space="preserve">. The </w:t>
      </w:r>
      <w:r w:rsidR="00CE09DF" w:rsidRPr="00181CF2">
        <w:rPr>
          <w:rFonts w:asciiTheme="minorHAnsi" w:hAnsiTheme="minorHAnsi" w:cs="Times New Roman"/>
          <w:b/>
          <w:bCs/>
          <w:sz w:val="22"/>
          <w:szCs w:val="22"/>
        </w:rPr>
        <w:t>SPAWAR COTS</w:t>
      </w:r>
      <w:r w:rsidRPr="00181CF2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CE09DF" w:rsidRPr="00181CF2">
        <w:rPr>
          <w:rFonts w:asciiTheme="minorHAnsi" w:hAnsiTheme="minorHAnsi" w:cs="Times New Roman"/>
          <w:b/>
          <w:bCs/>
          <w:sz w:val="22"/>
          <w:szCs w:val="22"/>
        </w:rPr>
        <w:t xml:space="preserve">contract </w:t>
      </w:r>
      <w:r w:rsidRPr="00181CF2">
        <w:rPr>
          <w:rFonts w:asciiTheme="minorHAnsi" w:hAnsiTheme="minorHAnsi" w:cs="Times New Roman"/>
          <w:b/>
          <w:bCs/>
          <w:sz w:val="22"/>
          <w:szCs w:val="22"/>
        </w:rPr>
        <w:t xml:space="preserve">provides </w:t>
      </w:r>
      <w:r w:rsidR="00CE09DF" w:rsidRPr="00181CF2">
        <w:rPr>
          <w:rFonts w:asciiTheme="minorHAnsi" w:hAnsiTheme="minorHAnsi" w:cs="Times New Roman"/>
          <w:b/>
          <w:bCs/>
          <w:sz w:val="22"/>
          <w:szCs w:val="22"/>
        </w:rPr>
        <w:t>Navy</w:t>
      </w:r>
      <w:r w:rsidRPr="00181CF2">
        <w:rPr>
          <w:rFonts w:asciiTheme="minorHAnsi" w:hAnsiTheme="minorHAnsi" w:cs="Times New Roman"/>
          <w:b/>
          <w:bCs/>
          <w:sz w:val="22"/>
          <w:szCs w:val="22"/>
        </w:rPr>
        <w:t xml:space="preserve"> customers access to:</w:t>
      </w:r>
    </w:p>
    <w:p w:rsidR="00290DEF" w:rsidRPr="000B1646" w:rsidRDefault="00290DEF" w:rsidP="00290DE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90DEF" w:rsidRPr="000B1646" w:rsidRDefault="005A2A2D" w:rsidP="00290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Arial"/>
        </w:rPr>
      </w:pPr>
      <w:r>
        <w:rPr>
          <w:rFonts w:cs="Arial"/>
        </w:rPr>
        <w:t>Supply communications equipment, solutions, systems, accessories including software and all associated documentation</w:t>
      </w:r>
      <w:r w:rsidR="00290DEF" w:rsidRPr="000B1646">
        <w:rPr>
          <w:rFonts w:cs="Arial"/>
        </w:rPr>
        <w:t xml:space="preserve"> requirements of the </w:t>
      </w:r>
      <w:r w:rsidR="00F71FDD">
        <w:rPr>
          <w:rFonts w:cs="Arial"/>
        </w:rPr>
        <w:t>Navy, DoD</w:t>
      </w:r>
      <w:r w:rsidR="00181CF2">
        <w:rPr>
          <w:rFonts w:cs="Arial"/>
        </w:rPr>
        <w:t>,</w:t>
      </w:r>
      <w:r w:rsidR="00F71FDD">
        <w:rPr>
          <w:rFonts w:cs="Arial"/>
        </w:rPr>
        <w:t xml:space="preserve"> and federal agencies</w:t>
      </w:r>
    </w:p>
    <w:p w:rsidR="00290DEF" w:rsidRPr="000B1646" w:rsidRDefault="00290DEF" w:rsidP="00290DEF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Arial"/>
        </w:rPr>
      </w:pPr>
    </w:p>
    <w:p w:rsidR="003968BA" w:rsidRPr="003968BA" w:rsidRDefault="005A2A2D" w:rsidP="003968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84" w:line="240" w:lineRule="auto"/>
        <w:rPr>
          <w:rFonts w:cs="Arial"/>
        </w:rPr>
      </w:pPr>
      <w:r w:rsidRPr="003968BA">
        <w:rPr>
          <w:rFonts w:cs="Arial"/>
        </w:rPr>
        <w:t>Support include</w:t>
      </w:r>
      <w:r w:rsidR="00181CF2">
        <w:rPr>
          <w:rFonts w:cs="Arial"/>
        </w:rPr>
        <w:t>s</w:t>
      </w:r>
      <w:r w:rsidRPr="003968BA">
        <w:rPr>
          <w:rFonts w:cs="Arial"/>
        </w:rPr>
        <w:t xml:space="preserve"> product validation authorization certification</w:t>
      </w:r>
      <w:r w:rsidR="003968BA" w:rsidRPr="003968BA">
        <w:rPr>
          <w:rFonts w:cs="Arial"/>
        </w:rPr>
        <w:t xml:space="preserve"> of manufacturer</w:t>
      </w:r>
      <w:r w:rsidRPr="003968BA">
        <w:rPr>
          <w:rFonts w:cs="Arial"/>
        </w:rPr>
        <w:t xml:space="preserve">, products </w:t>
      </w:r>
      <w:r w:rsidR="003968BA" w:rsidRPr="003968BA">
        <w:rPr>
          <w:rFonts w:cs="Arial"/>
        </w:rPr>
        <w:t xml:space="preserve"> that are listed on the NIAP validated products list </w:t>
      </w:r>
      <w:r w:rsidR="003968BA">
        <w:rPr>
          <w:rFonts w:cs="Arial"/>
        </w:rPr>
        <w:t xml:space="preserve">as </w:t>
      </w:r>
      <w:r w:rsidR="003968BA" w:rsidRPr="003968BA">
        <w:rPr>
          <w:rFonts w:cs="Arial"/>
        </w:rPr>
        <w:t xml:space="preserve">required, </w:t>
      </w:r>
      <w:r w:rsidR="003968BA">
        <w:rPr>
          <w:rFonts w:cs="Arial"/>
        </w:rPr>
        <w:t>provide unique identification and radio frequency identification as required</w:t>
      </w:r>
      <w:r w:rsidR="00181CF2">
        <w:rPr>
          <w:rFonts w:cs="Arial"/>
        </w:rPr>
        <w:t>,</w:t>
      </w:r>
      <w:r w:rsidR="003968BA">
        <w:rPr>
          <w:rFonts w:cs="Arial"/>
        </w:rPr>
        <w:t xml:space="preserve">  and product /</w:t>
      </w:r>
      <w:r w:rsidR="00F71FDD">
        <w:rPr>
          <w:rFonts w:cs="Arial"/>
        </w:rPr>
        <w:t xml:space="preserve"> item tracking per the contract</w:t>
      </w:r>
    </w:p>
    <w:p w:rsidR="003968BA" w:rsidRPr="003968BA" w:rsidRDefault="003968BA" w:rsidP="003968BA">
      <w:pPr>
        <w:pStyle w:val="ListParagraph"/>
        <w:autoSpaceDE w:val="0"/>
        <w:autoSpaceDN w:val="0"/>
        <w:adjustRightInd w:val="0"/>
        <w:spacing w:before="120" w:after="184" w:line="240" w:lineRule="auto"/>
        <w:ind w:left="360"/>
        <w:rPr>
          <w:rFonts w:cs="Arial"/>
        </w:rPr>
      </w:pPr>
    </w:p>
    <w:p w:rsidR="00290DEF" w:rsidRPr="000B1646" w:rsidRDefault="003968BA" w:rsidP="00290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84" w:line="240" w:lineRule="auto"/>
        <w:rPr>
          <w:rFonts w:cs="Arial"/>
        </w:rPr>
      </w:pPr>
      <w:r>
        <w:rPr>
          <w:rFonts w:cs="Arial"/>
        </w:rPr>
        <w:t>Provide t</w:t>
      </w:r>
      <w:r w:rsidR="00290DEF" w:rsidRPr="000B1646">
        <w:rPr>
          <w:rFonts w:cs="Arial"/>
        </w:rPr>
        <w:t xml:space="preserve">echnical </w:t>
      </w:r>
      <w:r>
        <w:rPr>
          <w:rFonts w:cs="Arial"/>
        </w:rPr>
        <w:t xml:space="preserve">support services that include training, evaluation and repair, equipment configuration and setup, and </w:t>
      </w:r>
      <w:r w:rsidR="00F71FDD">
        <w:rPr>
          <w:rFonts w:cs="Arial"/>
        </w:rPr>
        <w:t>upgrade kits</w:t>
      </w:r>
      <w:r>
        <w:rPr>
          <w:rFonts w:cs="Arial"/>
        </w:rPr>
        <w:t xml:space="preserve"> </w:t>
      </w:r>
    </w:p>
    <w:p w:rsidR="00290DEF" w:rsidRPr="000B1646" w:rsidRDefault="00290DEF" w:rsidP="00290DEF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Arial"/>
        </w:rPr>
      </w:pPr>
    </w:p>
    <w:p w:rsidR="00290DEF" w:rsidRPr="000B1646" w:rsidRDefault="00F71FDD" w:rsidP="00290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Arial"/>
        </w:rPr>
      </w:pPr>
      <w:r>
        <w:rPr>
          <w:rFonts w:cs="Arial"/>
        </w:rPr>
        <w:t>Provide</w:t>
      </w:r>
      <w:r w:rsidR="00181CF2">
        <w:rPr>
          <w:rFonts w:cs="Arial"/>
        </w:rPr>
        <w:t xml:space="preserve"> program management support to e</w:t>
      </w:r>
      <w:r>
        <w:rPr>
          <w:rFonts w:cs="Arial"/>
        </w:rPr>
        <w:t xml:space="preserve">nsure that requirements are met on schedule and within cost </w:t>
      </w:r>
    </w:p>
    <w:p w:rsidR="00290DEF" w:rsidRPr="000B1646" w:rsidRDefault="00290DEF" w:rsidP="00290DEF">
      <w:pPr>
        <w:pStyle w:val="ListParagraph"/>
        <w:rPr>
          <w:rFonts w:cs="Arial"/>
        </w:rPr>
      </w:pPr>
    </w:p>
    <w:p w:rsidR="00EE0DB8" w:rsidRPr="00B472AA" w:rsidRDefault="00290DEF" w:rsidP="00EE0D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0B1646">
        <w:rPr>
          <w:rFonts w:cs="Times New Roman"/>
        </w:rPr>
        <w:t xml:space="preserve">Black Box has </w:t>
      </w:r>
      <w:r w:rsidR="0068483F">
        <w:rPr>
          <w:rFonts w:cs="Times New Roman"/>
        </w:rPr>
        <w:t xml:space="preserve">an extensive base of authorized </w:t>
      </w:r>
      <w:r w:rsidR="002754D7">
        <w:rPr>
          <w:rFonts w:cs="Times New Roman"/>
        </w:rPr>
        <w:t>Original E</w:t>
      </w:r>
      <w:r w:rsidR="0068483F">
        <w:rPr>
          <w:rFonts w:cs="Times New Roman"/>
        </w:rPr>
        <w:t>quipmen</w:t>
      </w:r>
      <w:r w:rsidR="002754D7">
        <w:rPr>
          <w:rFonts w:cs="Times New Roman"/>
        </w:rPr>
        <w:t>t S</w:t>
      </w:r>
      <w:r w:rsidR="0068483F">
        <w:rPr>
          <w:rFonts w:cs="Times New Roman"/>
        </w:rPr>
        <w:t xml:space="preserve">uppliers (OEMs) </w:t>
      </w:r>
      <w:r w:rsidR="002754D7">
        <w:rPr>
          <w:rFonts w:cs="Times New Roman"/>
        </w:rPr>
        <w:t xml:space="preserve">for </w:t>
      </w:r>
      <w:r w:rsidR="0068483F">
        <w:rPr>
          <w:rFonts w:cs="Times New Roman"/>
        </w:rPr>
        <w:t xml:space="preserve">communications products </w:t>
      </w:r>
      <w:r w:rsidR="002754D7">
        <w:rPr>
          <w:rFonts w:cs="Times New Roman"/>
        </w:rPr>
        <w:t xml:space="preserve">as </w:t>
      </w:r>
      <w:r w:rsidR="0068483F">
        <w:rPr>
          <w:rFonts w:cs="Times New Roman"/>
        </w:rPr>
        <w:t>the largest independent supplier of communication solutions.</w:t>
      </w:r>
    </w:p>
    <w:p w:rsidR="00290DEF" w:rsidRPr="00A52483" w:rsidRDefault="00290DEF" w:rsidP="00290DEF">
      <w:pPr>
        <w:rPr>
          <w:b/>
          <w:bCs/>
        </w:rPr>
      </w:pPr>
      <w:r w:rsidRPr="00A52483">
        <w:rPr>
          <w:b/>
          <w:bCs/>
        </w:rPr>
        <w:t xml:space="preserve">The US </w:t>
      </w:r>
      <w:r w:rsidR="009A5563" w:rsidRPr="00A52483">
        <w:rPr>
          <w:b/>
          <w:bCs/>
        </w:rPr>
        <w:t>Navy‘s SPAWAR COTS</w:t>
      </w:r>
      <w:r w:rsidRPr="00A52483">
        <w:rPr>
          <w:b/>
          <w:bCs/>
        </w:rPr>
        <w:t xml:space="preserve"> </w:t>
      </w:r>
      <w:r w:rsidR="009A5563" w:rsidRPr="00A52483">
        <w:rPr>
          <w:b/>
          <w:bCs/>
        </w:rPr>
        <w:t xml:space="preserve">contract </w:t>
      </w:r>
      <w:r w:rsidRPr="00A52483">
        <w:rPr>
          <w:b/>
          <w:bCs/>
        </w:rPr>
        <w:t xml:space="preserve">encompasses the full extent of </w:t>
      </w:r>
      <w:r w:rsidR="009A5563" w:rsidRPr="00A52483">
        <w:rPr>
          <w:b/>
          <w:bCs/>
        </w:rPr>
        <w:t>COTS equipment</w:t>
      </w:r>
      <w:r w:rsidRPr="00A52483">
        <w:rPr>
          <w:b/>
          <w:bCs/>
        </w:rPr>
        <w:t xml:space="preserve"> and </w:t>
      </w:r>
      <w:r w:rsidR="009A5563" w:rsidRPr="00A52483">
        <w:rPr>
          <w:b/>
          <w:bCs/>
        </w:rPr>
        <w:t>services</w:t>
      </w:r>
      <w:r w:rsidRPr="00A52483">
        <w:rPr>
          <w:b/>
          <w:bCs/>
        </w:rPr>
        <w:t xml:space="preserve"> required to deliver global </w:t>
      </w:r>
      <w:r w:rsidR="009A5563" w:rsidRPr="00A52483">
        <w:rPr>
          <w:b/>
          <w:bCs/>
        </w:rPr>
        <w:t>network, communications</w:t>
      </w:r>
      <w:r w:rsidR="00181CF2">
        <w:rPr>
          <w:b/>
          <w:bCs/>
        </w:rPr>
        <w:t>,</w:t>
      </w:r>
      <w:r w:rsidR="009A5563" w:rsidRPr="00A52483">
        <w:rPr>
          <w:b/>
          <w:bCs/>
        </w:rPr>
        <w:t xml:space="preserve"> and service</w:t>
      </w:r>
      <w:r w:rsidRPr="00A52483">
        <w:rPr>
          <w:b/>
          <w:bCs/>
        </w:rPr>
        <w:t xml:space="preserve"> capabilities in support of the </w:t>
      </w:r>
      <w:r w:rsidR="009A5563" w:rsidRPr="00A52483">
        <w:rPr>
          <w:b/>
          <w:bCs/>
        </w:rPr>
        <w:t xml:space="preserve">Space and Naval Warfare Systems Centers SPAWARSYSCEN </w:t>
      </w:r>
      <w:r w:rsidR="00A52483" w:rsidRPr="00A52483">
        <w:rPr>
          <w:b/>
          <w:bCs/>
        </w:rPr>
        <w:t xml:space="preserve">Ordering Officer in support of DoD and federal agencies. </w:t>
      </w:r>
    </w:p>
    <w:p w:rsidR="008A3838" w:rsidRPr="00B472AA" w:rsidRDefault="00B472AA" w:rsidP="00290DE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Note: </w:t>
      </w:r>
      <w:r w:rsidRPr="00B472AA">
        <w:rPr>
          <w:b/>
          <w:bCs/>
          <w:sz w:val="20"/>
          <w:szCs w:val="20"/>
        </w:rPr>
        <w:t>Inside Sales (John Pantano) monitors the SPAWAR COTS portal</w:t>
      </w:r>
      <w:r>
        <w:rPr>
          <w:b/>
          <w:bCs/>
          <w:sz w:val="20"/>
          <w:szCs w:val="20"/>
        </w:rPr>
        <w:t xml:space="preserve"> on a regular baisis</w:t>
      </w:r>
    </w:p>
    <w:tbl>
      <w:tblPr>
        <w:tblStyle w:val="TableGrid"/>
        <w:tblW w:w="5058" w:type="dxa"/>
        <w:tblLook w:val="04A0"/>
      </w:tblPr>
      <w:tblGrid>
        <w:gridCol w:w="1548"/>
        <w:gridCol w:w="3510"/>
      </w:tblGrid>
      <w:tr w:rsidR="006B397B" w:rsidRPr="000B1646" w:rsidTr="00290DEF">
        <w:tc>
          <w:tcPr>
            <w:tcW w:w="1548" w:type="dxa"/>
          </w:tcPr>
          <w:p w:rsidR="006B397B" w:rsidRPr="000B1646" w:rsidRDefault="006B397B" w:rsidP="00290DEF">
            <w:pPr>
              <w:jc w:val="center"/>
              <w:rPr>
                <w:rFonts w:cs="Times New Roman"/>
              </w:rPr>
            </w:pPr>
            <w:r w:rsidRPr="000B1646">
              <w:rPr>
                <w:rFonts w:cs="Times New Roman"/>
              </w:rPr>
              <w:lastRenderedPageBreak/>
              <w:t xml:space="preserve">Contract # </w:t>
            </w:r>
          </w:p>
        </w:tc>
        <w:tc>
          <w:tcPr>
            <w:tcW w:w="3510" w:type="dxa"/>
          </w:tcPr>
          <w:p w:rsidR="006B397B" w:rsidRPr="000B1646" w:rsidRDefault="005F3DF8" w:rsidP="0056615E">
            <w:pPr>
              <w:rPr>
                <w:rFonts w:cs="Times New Roman"/>
              </w:rPr>
            </w:pPr>
            <w:r w:rsidRPr="000B1646">
              <w:rPr>
                <w:rFonts w:cs="Times New Roman"/>
              </w:rPr>
              <w:t xml:space="preserve">              </w:t>
            </w:r>
            <w:r w:rsidR="001C3542" w:rsidRPr="000B1646">
              <w:rPr>
                <w:rFonts w:cs="Times New Roman"/>
              </w:rPr>
              <w:t xml:space="preserve">       </w:t>
            </w:r>
            <w:r w:rsidR="0056615E">
              <w:t>N65236-12-D-4130</w:t>
            </w:r>
          </w:p>
        </w:tc>
      </w:tr>
      <w:tr w:rsidR="00290DEF" w:rsidRPr="000B1646" w:rsidTr="00290DEF">
        <w:tc>
          <w:tcPr>
            <w:tcW w:w="1548" w:type="dxa"/>
          </w:tcPr>
          <w:p w:rsidR="00290DEF" w:rsidRPr="000B1646" w:rsidRDefault="00290DEF" w:rsidP="00290DEF">
            <w:pPr>
              <w:jc w:val="center"/>
              <w:rPr>
                <w:rFonts w:cs="Times New Roman"/>
              </w:rPr>
            </w:pPr>
            <w:r w:rsidRPr="000B1646">
              <w:rPr>
                <w:rFonts w:cs="Times New Roman"/>
              </w:rPr>
              <w:t>POP</w:t>
            </w:r>
          </w:p>
        </w:tc>
        <w:tc>
          <w:tcPr>
            <w:tcW w:w="3510" w:type="dxa"/>
          </w:tcPr>
          <w:p w:rsidR="00290DEF" w:rsidRPr="000B1646" w:rsidRDefault="00290DEF" w:rsidP="00290DEF">
            <w:pPr>
              <w:rPr>
                <w:rFonts w:cs="Times New Roman"/>
              </w:rPr>
            </w:pPr>
            <w:r w:rsidRPr="000B1646">
              <w:rPr>
                <w:rFonts w:cs="Times New Roman"/>
              </w:rPr>
              <w:t xml:space="preserve">   </w:t>
            </w:r>
            <w:r w:rsidR="006B397B" w:rsidRPr="000B1646">
              <w:rPr>
                <w:rFonts w:cs="Times New Roman"/>
              </w:rPr>
              <w:t xml:space="preserve">        </w:t>
            </w:r>
            <w:r w:rsidR="00DA07FA">
              <w:rPr>
                <w:rFonts w:cs="Times New Roman"/>
              </w:rPr>
              <w:t xml:space="preserve">  3-22-1</w:t>
            </w:r>
            <w:r w:rsidR="0056615E">
              <w:rPr>
                <w:rFonts w:cs="Times New Roman"/>
              </w:rPr>
              <w:t>2 through 3-21</w:t>
            </w:r>
            <w:r w:rsidRPr="000B1646">
              <w:rPr>
                <w:rFonts w:cs="Times New Roman"/>
              </w:rPr>
              <w:t>-17</w:t>
            </w:r>
          </w:p>
        </w:tc>
      </w:tr>
      <w:tr w:rsidR="00290DEF" w:rsidRPr="000B1646" w:rsidTr="00290DEF">
        <w:tc>
          <w:tcPr>
            <w:tcW w:w="1548" w:type="dxa"/>
          </w:tcPr>
          <w:p w:rsidR="00290DEF" w:rsidRPr="000B1646" w:rsidRDefault="00290DEF" w:rsidP="00290DEF">
            <w:pPr>
              <w:rPr>
                <w:rFonts w:cs="Times New Roman"/>
              </w:rPr>
            </w:pPr>
            <w:r w:rsidRPr="000B1646">
              <w:rPr>
                <w:rFonts w:cs="Times New Roman"/>
              </w:rPr>
              <w:t>Who is Eligible</w:t>
            </w:r>
          </w:p>
        </w:tc>
        <w:tc>
          <w:tcPr>
            <w:tcW w:w="3510" w:type="dxa"/>
          </w:tcPr>
          <w:p w:rsidR="00290DEF" w:rsidRPr="000B1646" w:rsidRDefault="0056615E" w:rsidP="00290D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Navy</w:t>
            </w:r>
          </w:p>
        </w:tc>
      </w:tr>
      <w:tr w:rsidR="00290DEF" w:rsidRPr="000B1646" w:rsidTr="00290DEF">
        <w:tc>
          <w:tcPr>
            <w:tcW w:w="1548" w:type="dxa"/>
          </w:tcPr>
          <w:p w:rsidR="00290DEF" w:rsidRPr="000B1646" w:rsidRDefault="00290DEF" w:rsidP="00290DEF">
            <w:pPr>
              <w:jc w:val="center"/>
              <w:rPr>
                <w:rFonts w:cs="Times New Roman"/>
              </w:rPr>
            </w:pPr>
            <w:r w:rsidRPr="000B1646">
              <w:rPr>
                <w:rFonts w:cs="Times New Roman"/>
              </w:rPr>
              <w:t xml:space="preserve">Agency </w:t>
            </w:r>
          </w:p>
        </w:tc>
        <w:tc>
          <w:tcPr>
            <w:tcW w:w="3510" w:type="dxa"/>
          </w:tcPr>
          <w:p w:rsidR="00290DEF" w:rsidRPr="000B1646" w:rsidRDefault="0056615E" w:rsidP="00290D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SPAWAR</w:t>
            </w:r>
          </w:p>
        </w:tc>
      </w:tr>
      <w:tr w:rsidR="00290DEF" w:rsidRPr="000B1646" w:rsidTr="00290DEF">
        <w:tc>
          <w:tcPr>
            <w:tcW w:w="1548" w:type="dxa"/>
          </w:tcPr>
          <w:p w:rsidR="00290DEF" w:rsidRPr="000B1646" w:rsidRDefault="001C3542" w:rsidP="00290DEF">
            <w:pPr>
              <w:jc w:val="center"/>
              <w:rPr>
                <w:rFonts w:cs="Times New Roman"/>
              </w:rPr>
            </w:pPr>
            <w:r w:rsidRPr="000B1646">
              <w:rPr>
                <w:rFonts w:cs="Times New Roman"/>
              </w:rPr>
              <w:t xml:space="preserve">Gov’t </w:t>
            </w:r>
            <w:r w:rsidR="00290DEF" w:rsidRPr="000B1646">
              <w:rPr>
                <w:rFonts w:cs="Times New Roman"/>
              </w:rPr>
              <w:t>Contact</w:t>
            </w:r>
          </w:p>
        </w:tc>
        <w:tc>
          <w:tcPr>
            <w:tcW w:w="3510" w:type="dxa"/>
          </w:tcPr>
          <w:p w:rsidR="00290DEF" w:rsidRPr="000B1646" w:rsidRDefault="0056615E" w:rsidP="00290D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843-218-3975</w:t>
            </w:r>
          </w:p>
        </w:tc>
      </w:tr>
      <w:tr w:rsidR="00290DEF" w:rsidRPr="000B1646" w:rsidTr="00290DEF">
        <w:tc>
          <w:tcPr>
            <w:tcW w:w="1548" w:type="dxa"/>
          </w:tcPr>
          <w:p w:rsidR="00290DEF" w:rsidRPr="000B1646" w:rsidRDefault="00290DEF" w:rsidP="00290DEF">
            <w:pPr>
              <w:jc w:val="center"/>
              <w:rPr>
                <w:rFonts w:cs="Times New Roman"/>
              </w:rPr>
            </w:pPr>
            <w:r w:rsidRPr="000B1646">
              <w:rPr>
                <w:rFonts w:cs="Times New Roman"/>
              </w:rPr>
              <w:t>Email</w:t>
            </w:r>
          </w:p>
        </w:tc>
        <w:tc>
          <w:tcPr>
            <w:tcW w:w="3510" w:type="dxa"/>
          </w:tcPr>
          <w:p w:rsidR="00290DEF" w:rsidRPr="000B1646" w:rsidRDefault="00506644" w:rsidP="0056615E">
            <w:pPr>
              <w:jc w:val="center"/>
              <w:rPr>
                <w:rFonts w:cs="Times New Roman"/>
                <w:color w:val="1F497D"/>
              </w:rPr>
            </w:pPr>
            <w:hyperlink r:id="rId10" w:history="1">
              <w:r w:rsidR="008D1DA6" w:rsidRPr="00064193">
                <w:rPr>
                  <w:rStyle w:val="Hyperlink"/>
                  <w:rFonts w:cs="Times New Roman"/>
                </w:rPr>
                <w:t>diane.crosby@navy.mil</w:t>
              </w:r>
            </w:hyperlink>
          </w:p>
        </w:tc>
      </w:tr>
    </w:tbl>
    <w:p w:rsidR="00290DEF" w:rsidRPr="000B1646" w:rsidRDefault="00290DEF" w:rsidP="006B397B">
      <w:pPr>
        <w:spacing w:after="0" w:line="240" w:lineRule="auto"/>
        <w:jc w:val="both"/>
        <w:rPr>
          <w:sz w:val="16"/>
          <w:szCs w:val="16"/>
        </w:rPr>
      </w:pPr>
    </w:p>
    <w:p w:rsidR="006B397B" w:rsidRPr="00DE4AA9" w:rsidRDefault="006B397B" w:rsidP="006B397B">
      <w:pPr>
        <w:spacing w:after="0" w:line="240" w:lineRule="auto"/>
        <w:jc w:val="both"/>
        <w:rPr>
          <w:b/>
        </w:rPr>
      </w:pPr>
      <w:r w:rsidRPr="00DE4AA9">
        <w:rPr>
          <w:b/>
        </w:rPr>
        <w:t>Solution Sets</w:t>
      </w:r>
    </w:p>
    <w:p w:rsidR="000B1646" w:rsidRPr="00DE4AA9" w:rsidRDefault="000B1646" w:rsidP="006B397B">
      <w:pPr>
        <w:spacing w:after="0" w:line="240" w:lineRule="auto"/>
        <w:jc w:val="both"/>
        <w:rPr>
          <w:b/>
        </w:rPr>
      </w:pPr>
    </w:p>
    <w:p w:rsidR="00DE4AA9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 w:rsidRPr="000B1646">
        <w:rPr>
          <w:rFonts w:asciiTheme="minorHAnsi" w:hAnsiTheme="minorHAnsi" w:cs="Times New Roman"/>
          <w:color w:val="auto"/>
          <w:sz w:val="20"/>
          <w:szCs w:val="20"/>
        </w:rPr>
        <w:t>Enterprise Services and Capabilities</w:t>
      </w:r>
    </w:p>
    <w:p w:rsidR="006B397B" w:rsidRPr="000B1646" w:rsidRDefault="00DE4AA9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Rapid acquisition process</w:t>
      </w:r>
      <w:r w:rsidR="006B397B" w:rsidRPr="000B1646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6B397B" w:rsidRPr="000B1646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 w:rsidRPr="000B1646">
        <w:rPr>
          <w:rFonts w:asciiTheme="minorHAnsi" w:hAnsiTheme="minorHAnsi" w:cs="Times New Roman"/>
          <w:color w:val="auto"/>
          <w:sz w:val="20"/>
          <w:szCs w:val="20"/>
        </w:rPr>
        <w:t xml:space="preserve">Video Tele-Conferencing (VTC) solutions </w:t>
      </w:r>
    </w:p>
    <w:p w:rsidR="006B397B" w:rsidRPr="000B1646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 w:rsidRPr="000B1646">
        <w:rPr>
          <w:rFonts w:asciiTheme="minorHAnsi" w:hAnsiTheme="minorHAnsi" w:cs="Times New Roman"/>
          <w:color w:val="auto"/>
          <w:sz w:val="20"/>
          <w:szCs w:val="20"/>
        </w:rPr>
        <w:t xml:space="preserve">Digital switching systems/ equipment </w:t>
      </w:r>
    </w:p>
    <w:p w:rsidR="006B397B" w:rsidRPr="000B1646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 w:rsidRPr="000B1646">
        <w:rPr>
          <w:rFonts w:asciiTheme="minorHAnsi" w:hAnsiTheme="minorHAnsi" w:cs="Times New Roman"/>
          <w:color w:val="auto"/>
          <w:sz w:val="20"/>
          <w:szCs w:val="20"/>
        </w:rPr>
        <w:t xml:space="preserve">Voice solutions including wireless, broadband, Voice Over Internet Protocol (VoIP)/Voice Over Secure Internet Protocol (VoSIP) </w:t>
      </w:r>
    </w:p>
    <w:p w:rsidR="006B397B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 w:rsidRPr="000B1646">
        <w:rPr>
          <w:rFonts w:asciiTheme="minorHAnsi" w:hAnsiTheme="minorHAnsi" w:cs="Times New Roman"/>
          <w:color w:val="auto"/>
          <w:sz w:val="20"/>
          <w:szCs w:val="20"/>
        </w:rPr>
        <w:t xml:space="preserve">Legacy voice solutions modernization </w:t>
      </w:r>
    </w:p>
    <w:p w:rsidR="006642B0" w:rsidRPr="000B1646" w:rsidRDefault="006642B0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Upgrade kits</w:t>
      </w:r>
    </w:p>
    <w:p w:rsidR="006B397B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 w:rsidRPr="000B1646">
        <w:rPr>
          <w:rFonts w:asciiTheme="minorHAnsi" w:hAnsiTheme="minorHAnsi" w:cs="Times New Roman"/>
          <w:color w:val="auto"/>
          <w:sz w:val="20"/>
          <w:szCs w:val="20"/>
        </w:rPr>
        <w:t xml:space="preserve">Storage and networking </w:t>
      </w:r>
    </w:p>
    <w:p w:rsidR="006642B0" w:rsidRDefault="006642B0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Training both factory and onsite</w:t>
      </w:r>
    </w:p>
    <w:p w:rsidR="006642B0" w:rsidRDefault="006642B0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Equipment documentation</w:t>
      </w:r>
    </w:p>
    <w:p w:rsidR="006642B0" w:rsidRDefault="006642B0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Equipment configuration and set up</w:t>
      </w:r>
    </w:p>
    <w:p w:rsidR="006642B0" w:rsidRDefault="006642B0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Evaluation and repair</w:t>
      </w:r>
    </w:p>
    <w:p w:rsidR="006642B0" w:rsidRDefault="006642B0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Information Assurance</w:t>
      </w:r>
    </w:p>
    <w:p w:rsidR="006642B0" w:rsidRDefault="00DE4AA9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Patch panels, splitters and distribution units</w:t>
      </w:r>
    </w:p>
    <w:p w:rsidR="00DE4AA9" w:rsidRDefault="00DE4AA9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Power distribution units</w:t>
      </w:r>
    </w:p>
    <w:p w:rsidR="00DE4AA9" w:rsidRDefault="00DE4AA9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Chassis, mounting enclosures and shelters</w:t>
      </w:r>
    </w:p>
    <w:p w:rsidR="00DE4AA9" w:rsidRDefault="00DE4AA9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Program management</w:t>
      </w:r>
    </w:p>
    <w:p w:rsidR="00DE4AA9" w:rsidRPr="000B1646" w:rsidRDefault="00DE4AA9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Maintenance services</w:t>
      </w:r>
    </w:p>
    <w:p w:rsidR="005F3DF8" w:rsidRPr="00DE4AA9" w:rsidRDefault="005F3DF8" w:rsidP="006B397B">
      <w:pPr>
        <w:spacing w:after="0" w:line="240" w:lineRule="auto"/>
        <w:contextualSpacing/>
        <w:rPr>
          <w:b/>
          <w:sz w:val="20"/>
          <w:szCs w:val="20"/>
        </w:rPr>
      </w:pPr>
    </w:p>
    <w:p w:rsidR="00DE4AA9" w:rsidRDefault="00DE4AA9" w:rsidP="005F3DF8">
      <w:pPr>
        <w:spacing w:after="0" w:line="240" w:lineRule="auto"/>
        <w:contextualSpacing/>
        <w:jc w:val="center"/>
        <w:rPr>
          <w:b/>
        </w:rPr>
      </w:pPr>
    </w:p>
    <w:p w:rsidR="006B397B" w:rsidRPr="000B1646" w:rsidRDefault="006B397B" w:rsidP="005F3DF8">
      <w:pPr>
        <w:spacing w:after="0" w:line="240" w:lineRule="auto"/>
        <w:contextualSpacing/>
        <w:jc w:val="center"/>
        <w:rPr>
          <w:b/>
        </w:rPr>
      </w:pPr>
      <w:r w:rsidRPr="000B1646">
        <w:rPr>
          <w:b/>
        </w:rPr>
        <w:t>For more information:</w:t>
      </w:r>
    </w:p>
    <w:p w:rsidR="006F7335" w:rsidRPr="00DE4AA9" w:rsidRDefault="006F7335" w:rsidP="005F3DF8">
      <w:pPr>
        <w:spacing w:after="0" w:line="240" w:lineRule="auto"/>
        <w:contextualSpacing/>
        <w:jc w:val="center"/>
        <w:rPr>
          <w:b/>
        </w:rPr>
      </w:pPr>
    </w:p>
    <w:p w:rsidR="005F3DF8" w:rsidRPr="000B1646" w:rsidRDefault="006B397B" w:rsidP="005F3DF8">
      <w:pPr>
        <w:spacing w:after="0" w:line="240" w:lineRule="auto"/>
        <w:contextualSpacing/>
        <w:jc w:val="center"/>
        <w:rPr>
          <w:b/>
        </w:rPr>
      </w:pPr>
      <w:r w:rsidRPr="000B1646">
        <w:rPr>
          <w:b/>
        </w:rPr>
        <w:t>Robert Forshay</w:t>
      </w:r>
    </w:p>
    <w:p w:rsidR="006B397B" w:rsidRPr="000B1646" w:rsidRDefault="006B397B" w:rsidP="005F3DF8">
      <w:pPr>
        <w:spacing w:after="0" w:line="240" w:lineRule="auto"/>
        <w:contextualSpacing/>
        <w:jc w:val="center"/>
        <w:rPr>
          <w:sz w:val="20"/>
          <w:szCs w:val="20"/>
        </w:rPr>
      </w:pPr>
      <w:r w:rsidRPr="000B1646">
        <w:rPr>
          <w:sz w:val="20"/>
          <w:szCs w:val="20"/>
        </w:rPr>
        <w:t>Partner Alliance Manager</w:t>
      </w:r>
    </w:p>
    <w:p w:rsidR="006F7335" w:rsidRPr="000B1646" w:rsidRDefault="006F7335" w:rsidP="005F3DF8">
      <w:pPr>
        <w:spacing w:after="0" w:line="240" w:lineRule="auto"/>
        <w:contextualSpacing/>
        <w:jc w:val="center"/>
        <w:rPr>
          <w:sz w:val="20"/>
          <w:szCs w:val="20"/>
        </w:rPr>
      </w:pPr>
      <w:r w:rsidRPr="000B1646">
        <w:rPr>
          <w:sz w:val="20"/>
          <w:szCs w:val="20"/>
        </w:rPr>
        <w:t>Government Solutions</w:t>
      </w:r>
    </w:p>
    <w:p w:rsidR="006F7335" w:rsidRPr="000B1646" w:rsidRDefault="006F7335" w:rsidP="005F3DF8">
      <w:pPr>
        <w:pStyle w:val="PlainText"/>
        <w:jc w:val="center"/>
        <w:rPr>
          <w:rFonts w:asciiTheme="minorHAnsi" w:hAnsiTheme="minorHAnsi"/>
          <w:sz w:val="20"/>
          <w:szCs w:val="20"/>
        </w:rPr>
      </w:pPr>
      <w:r w:rsidRPr="000B1646">
        <w:rPr>
          <w:rFonts w:asciiTheme="minorHAnsi" w:hAnsiTheme="minorHAnsi"/>
          <w:sz w:val="20"/>
          <w:szCs w:val="20"/>
        </w:rPr>
        <w:t>Black Box Network Services</w:t>
      </w:r>
    </w:p>
    <w:p w:rsidR="006F7335" w:rsidRPr="000B1646" w:rsidRDefault="006F7335" w:rsidP="005F3DF8">
      <w:pPr>
        <w:pStyle w:val="PlainText"/>
        <w:jc w:val="center"/>
        <w:rPr>
          <w:rFonts w:asciiTheme="minorHAnsi" w:hAnsiTheme="minorHAnsi"/>
          <w:sz w:val="20"/>
          <w:szCs w:val="20"/>
        </w:rPr>
      </w:pPr>
      <w:r w:rsidRPr="000B1646">
        <w:rPr>
          <w:rFonts w:asciiTheme="minorHAnsi" w:hAnsiTheme="minorHAnsi"/>
          <w:sz w:val="20"/>
          <w:szCs w:val="20"/>
        </w:rPr>
        <w:t xml:space="preserve">781-292-3613 or </w:t>
      </w:r>
      <w:hyperlink r:id="rId11" w:history="1">
        <w:r w:rsidR="00235631" w:rsidRPr="000B1646">
          <w:rPr>
            <w:rStyle w:val="Hyperlink"/>
            <w:rFonts w:asciiTheme="minorHAnsi" w:hAnsiTheme="minorHAnsi"/>
            <w:sz w:val="20"/>
            <w:szCs w:val="20"/>
          </w:rPr>
          <w:t>robert.forshay@blackbox.com</w:t>
        </w:r>
      </w:hyperlink>
    </w:p>
    <w:p w:rsidR="006F7335" w:rsidRPr="00DE4AA9" w:rsidRDefault="006F7335" w:rsidP="005F3DF8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:rsidR="006F7335" w:rsidRPr="000B1646" w:rsidRDefault="008D1DA6" w:rsidP="005F3DF8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Jim Billings</w:t>
      </w:r>
    </w:p>
    <w:p w:rsidR="006F7335" w:rsidRPr="000B1646" w:rsidRDefault="008D1DA6" w:rsidP="005F3DF8">
      <w:pPr>
        <w:spacing w:after="0" w:line="240" w:lineRule="auto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Director of Sales</w:t>
      </w:r>
    </w:p>
    <w:p w:rsidR="006F7335" w:rsidRPr="000B1646" w:rsidRDefault="006F7335" w:rsidP="005F3DF8">
      <w:pPr>
        <w:spacing w:after="0" w:line="240" w:lineRule="auto"/>
        <w:jc w:val="center"/>
        <w:rPr>
          <w:rFonts w:cs="Times New Roman"/>
          <w:bCs/>
          <w:sz w:val="20"/>
          <w:szCs w:val="20"/>
        </w:rPr>
      </w:pPr>
      <w:r w:rsidRPr="000B1646">
        <w:rPr>
          <w:rFonts w:cs="Times New Roman"/>
          <w:bCs/>
          <w:sz w:val="20"/>
          <w:szCs w:val="20"/>
        </w:rPr>
        <w:t>Government Solutions</w:t>
      </w:r>
    </w:p>
    <w:p w:rsidR="006F7335" w:rsidRPr="000B1646" w:rsidRDefault="006F7335" w:rsidP="005F3DF8">
      <w:pPr>
        <w:spacing w:after="0" w:line="240" w:lineRule="auto"/>
        <w:jc w:val="center"/>
        <w:rPr>
          <w:rFonts w:cs="Times New Roman"/>
          <w:bCs/>
          <w:sz w:val="20"/>
          <w:szCs w:val="20"/>
        </w:rPr>
      </w:pPr>
      <w:r w:rsidRPr="000B1646">
        <w:rPr>
          <w:rFonts w:cs="Times New Roman"/>
          <w:bCs/>
          <w:sz w:val="20"/>
          <w:szCs w:val="20"/>
        </w:rPr>
        <w:t>Black Box Network Services</w:t>
      </w:r>
    </w:p>
    <w:p w:rsidR="006B397B" w:rsidRPr="000B1646" w:rsidRDefault="00CE09DF" w:rsidP="00235631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Times New Roman"/>
          <w:bCs/>
          <w:sz w:val="20"/>
          <w:szCs w:val="20"/>
        </w:rPr>
        <w:t>434-946-1603</w:t>
      </w:r>
      <w:r w:rsidR="006F7335" w:rsidRPr="000B1646">
        <w:rPr>
          <w:rFonts w:cs="Times New Roman"/>
          <w:bCs/>
          <w:sz w:val="20"/>
          <w:szCs w:val="20"/>
        </w:rPr>
        <w:t xml:space="preserve"> or </w:t>
      </w:r>
      <w:hyperlink r:id="rId12" w:history="1">
        <w:r w:rsidRPr="00064193">
          <w:rPr>
            <w:rStyle w:val="Hyperlink"/>
            <w:rFonts w:cs="Times New Roman"/>
            <w:bCs/>
            <w:sz w:val="20"/>
            <w:szCs w:val="20"/>
          </w:rPr>
          <w:t>james.billings@blackbox.com</w:t>
        </w:r>
      </w:hyperlink>
      <w:r>
        <w:rPr>
          <w:rFonts w:cs="Times New Roman"/>
          <w:bCs/>
          <w:sz w:val="20"/>
          <w:szCs w:val="20"/>
        </w:rPr>
        <w:t xml:space="preserve"> </w:t>
      </w:r>
    </w:p>
    <w:sectPr w:rsidR="006B397B" w:rsidRPr="000B1646" w:rsidSect="00B70A0A">
      <w:type w:val="continuous"/>
      <w:pgSz w:w="12240" w:h="15840" w:code="1"/>
      <w:pgMar w:top="1440" w:right="1440" w:bottom="990" w:left="1440" w:header="720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ep="1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26" w:rsidRDefault="00307C26" w:rsidP="008B33EF">
      <w:pPr>
        <w:spacing w:after="0" w:line="240" w:lineRule="auto"/>
      </w:pPr>
      <w:r>
        <w:separator/>
      </w:r>
    </w:p>
  </w:endnote>
  <w:endnote w:type="continuationSeparator" w:id="0">
    <w:p w:rsidR="00307C26" w:rsidRDefault="00307C26" w:rsidP="008B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B2" w:rsidRPr="00B56B82" w:rsidRDefault="005326B2" w:rsidP="00EB74F0">
    <w:pPr>
      <w:pStyle w:val="Footer"/>
      <w:jc w:val="center"/>
      <w:rPr>
        <w:rFonts w:ascii="Calisto MT" w:hAnsi="Calisto MT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26" w:rsidRDefault="00307C26" w:rsidP="008B33EF">
      <w:pPr>
        <w:spacing w:after="0" w:line="240" w:lineRule="auto"/>
      </w:pPr>
      <w:r>
        <w:separator/>
      </w:r>
    </w:p>
  </w:footnote>
  <w:footnote w:type="continuationSeparator" w:id="0">
    <w:p w:rsidR="00307C26" w:rsidRDefault="00307C26" w:rsidP="008B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671"/>
    <w:multiLevelType w:val="hybridMultilevel"/>
    <w:tmpl w:val="ECC6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91B"/>
    <w:multiLevelType w:val="hybridMultilevel"/>
    <w:tmpl w:val="F128285E"/>
    <w:lvl w:ilvl="0" w:tplc="8DF8F7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02B7"/>
    <w:multiLevelType w:val="hybridMultilevel"/>
    <w:tmpl w:val="AA60AFDE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6F8"/>
    <w:multiLevelType w:val="hybridMultilevel"/>
    <w:tmpl w:val="FD681DEA"/>
    <w:lvl w:ilvl="0" w:tplc="FA66B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E865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454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00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E5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260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A3C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284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C73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5301A"/>
    <w:multiLevelType w:val="hybridMultilevel"/>
    <w:tmpl w:val="0946163E"/>
    <w:lvl w:ilvl="0" w:tplc="B54A5E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CCB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8E1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465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52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E10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C89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A0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64B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250E9"/>
    <w:multiLevelType w:val="hybridMultilevel"/>
    <w:tmpl w:val="6DA85CBA"/>
    <w:lvl w:ilvl="0" w:tplc="B5449A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284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AE6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E6D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4D9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44C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36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C0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DC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D4BE3"/>
    <w:multiLevelType w:val="hybridMultilevel"/>
    <w:tmpl w:val="144E51C2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37752"/>
    <w:multiLevelType w:val="hybridMultilevel"/>
    <w:tmpl w:val="B9CEA624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B2612"/>
    <w:multiLevelType w:val="hybridMultilevel"/>
    <w:tmpl w:val="40D6E5BA"/>
    <w:lvl w:ilvl="0" w:tplc="8DF8F7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66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E170DC"/>
    <w:multiLevelType w:val="hybridMultilevel"/>
    <w:tmpl w:val="FFA0492A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F5398"/>
    <w:multiLevelType w:val="hybridMultilevel"/>
    <w:tmpl w:val="6158FAEE"/>
    <w:lvl w:ilvl="0" w:tplc="09D8F7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53A29"/>
    <w:multiLevelType w:val="hybridMultilevel"/>
    <w:tmpl w:val="DF56638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6E6068">
      <w:start w:val="7"/>
      <w:numFmt w:val="bullet"/>
      <w:lvlText w:val="•"/>
      <w:lvlJc w:val="left"/>
      <w:pPr>
        <w:ind w:left="1440" w:hanging="360"/>
      </w:pPr>
      <w:rPr>
        <w:rFonts w:ascii="Calisto MT" w:eastAsiaTheme="minorHAnsi" w:hAnsi="Calisto MT" w:cs="Frutiger-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B307B"/>
    <w:multiLevelType w:val="hybridMultilevel"/>
    <w:tmpl w:val="5300AD92"/>
    <w:lvl w:ilvl="0" w:tplc="43240E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CEB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8E4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C53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C89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220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872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CB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A00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042DB"/>
    <w:multiLevelType w:val="hybridMultilevel"/>
    <w:tmpl w:val="001C93E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75F54"/>
    <w:multiLevelType w:val="hybridMultilevel"/>
    <w:tmpl w:val="D81AEB2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7BE3"/>
    <w:rsid w:val="0000289C"/>
    <w:rsid w:val="000217AF"/>
    <w:rsid w:val="00040EC4"/>
    <w:rsid w:val="0004711E"/>
    <w:rsid w:val="000501AE"/>
    <w:rsid w:val="00074F84"/>
    <w:rsid w:val="000757CD"/>
    <w:rsid w:val="000B1646"/>
    <w:rsid w:val="00105AA8"/>
    <w:rsid w:val="00181CF2"/>
    <w:rsid w:val="00190138"/>
    <w:rsid w:val="001A22E1"/>
    <w:rsid w:val="001A5E88"/>
    <w:rsid w:val="001C1D59"/>
    <w:rsid w:val="001C3542"/>
    <w:rsid w:val="001C6931"/>
    <w:rsid w:val="001E3876"/>
    <w:rsid w:val="001F5138"/>
    <w:rsid w:val="00207D4D"/>
    <w:rsid w:val="00225066"/>
    <w:rsid w:val="00233014"/>
    <w:rsid w:val="00235631"/>
    <w:rsid w:val="002754D7"/>
    <w:rsid w:val="00290DEF"/>
    <w:rsid w:val="002C17FF"/>
    <w:rsid w:val="002D19BD"/>
    <w:rsid w:val="002D5BAB"/>
    <w:rsid w:val="002F0193"/>
    <w:rsid w:val="00307C26"/>
    <w:rsid w:val="00313E80"/>
    <w:rsid w:val="00340521"/>
    <w:rsid w:val="003968BA"/>
    <w:rsid w:val="003A616E"/>
    <w:rsid w:val="003B7BE3"/>
    <w:rsid w:val="003F5633"/>
    <w:rsid w:val="003F6950"/>
    <w:rsid w:val="00400039"/>
    <w:rsid w:val="0040378A"/>
    <w:rsid w:val="00403BB3"/>
    <w:rsid w:val="004623E5"/>
    <w:rsid w:val="004A57DD"/>
    <w:rsid w:val="004C160F"/>
    <w:rsid w:val="004C56AA"/>
    <w:rsid w:val="00506644"/>
    <w:rsid w:val="0051138E"/>
    <w:rsid w:val="005266A7"/>
    <w:rsid w:val="005326B2"/>
    <w:rsid w:val="00536850"/>
    <w:rsid w:val="00561739"/>
    <w:rsid w:val="00561F21"/>
    <w:rsid w:val="00564AF0"/>
    <w:rsid w:val="0056615E"/>
    <w:rsid w:val="005A2A2D"/>
    <w:rsid w:val="005A7D1F"/>
    <w:rsid w:val="005E7468"/>
    <w:rsid w:val="005F3DF8"/>
    <w:rsid w:val="00615437"/>
    <w:rsid w:val="00621641"/>
    <w:rsid w:val="0063017D"/>
    <w:rsid w:val="0065611E"/>
    <w:rsid w:val="006642B0"/>
    <w:rsid w:val="0068483F"/>
    <w:rsid w:val="0069006F"/>
    <w:rsid w:val="00697650"/>
    <w:rsid w:val="006A7719"/>
    <w:rsid w:val="006B397B"/>
    <w:rsid w:val="006F7335"/>
    <w:rsid w:val="00784D37"/>
    <w:rsid w:val="007A604C"/>
    <w:rsid w:val="00817B01"/>
    <w:rsid w:val="008265C5"/>
    <w:rsid w:val="00830EA2"/>
    <w:rsid w:val="00865101"/>
    <w:rsid w:val="00866873"/>
    <w:rsid w:val="00870384"/>
    <w:rsid w:val="0087444A"/>
    <w:rsid w:val="008A3838"/>
    <w:rsid w:val="008B33EF"/>
    <w:rsid w:val="008D19D4"/>
    <w:rsid w:val="008D1DA6"/>
    <w:rsid w:val="008D7DE8"/>
    <w:rsid w:val="008E3627"/>
    <w:rsid w:val="00905075"/>
    <w:rsid w:val="00921C4E"/>
    <w:rsid w:val="00930370"/>
    <w:rsid w:val="00981857"/>
    <w:rsid w:val="009A5563"/>
    <w:rsid w:val="009B531A"/>
    <w:rsid w:val="009D116F"/>
    <w:rsid w:val="009E0855"/>
    <w:rsid w:val="00A01FEB"/>
    <w:rsid w:val="00A04658"/>
    <w:rsid w:val="00A267CF"/>
    <w:rsid w:val="00A33988"/>
    <w:rsid w:val="00A34EA7"/>
    <w:rsid w:val="00A52483"/>
    <w:rsid w:val="00A63CAE"/>
    <w:rsid w:val="00A64C31"/>
    <w:rsid w:val="00A92DDC"/>
    <w:rsid w:val="00AB19D7"/>
    <w:rsid w:val="00AD6E3D"/>
    <w:rsid w:val="00AF09A4"/>
    <w:rsid w:val="00B0480B"/>
    <w:rsid w:val="00B113C8"/>
    <w:rsid w:val="00B22648"/>
    <w:rsid w:val="00B242F4"/>
    <w:rsid w:val="00B472AA"/>
    <w:rsid w:val="00B56B82"/>
    <w:rsid w:val="00B64C66"/>
    <w:rsid w:val="00B65767"/>
    <w:rsid w:val="00B70A0A"/>
    <w:rsid w:val="00B74628"/>
    <w:rsid w:val="00B852B3"/>
    <w:rsid w:val="00BA1BC9"/>
    <w:rsid w:val="00BA2424"/>
    <w:rsid w:val="00BA45C1"/>
    <w:rsid w:val="00C4435A"/>
    <w:rsid w:val="00C4739D"/>
    <w:rsid w:val="00C506AA"/>
    <w:rsid w:val="00C56DA5"/>
    <w:rsid w:val="00C93D53"/>
    <w:rsid w:val="00CA09C8"/>
    <w:rsid w:val="00CA1B99"/>
    <w:rsid w:val="00CA32EF"/>
    <w:rsid w:val="00CE09DF"/>
    <w:rsid w:val="00CE0EC2"/>
    <w:rsid w:val="00D02626"/>
    <w:rsid w:val="00D038AC"/>
    <w:rsid w:val="00D16D58"/>
    <w:rsid w:val="00D5457C"/>
    <w:rsid w:val="00D60C3F"/>
    <w:rsid w:val="00D65D01"/>
    <w:rsid w:val="00D829CC"/>
    <w:rsid w:val="00D82EFC"/>
    <w:rsid w:val="00D90C17"/>
    <w:rsid w:val="00D91CCC"/>
    <w:rsid w:val="00DA07FA"/>
    <w:rsid w:val="00DA597D"/>
    <w:rsid w:val="00DE22B8"/>
    <w:rsid w:val="00DE4AA9"/>
    <w:rsid w:val="00DF2692"/>
    <w:rsid w:val="00E63941"/>
    <w:rsid w:val="00E63F8D"/>
    <w:rsid w:val="00E6715C"/>
    <w:rsid w:val="00E95E2E"/>
    <w:rsid w:val="00E97CB3"/>
    <w:rsid w:val="00EB74F0"/>
    <w:rsid w:val="00EB7CEC"/>
    <w:rsid w:val="00EC6C3F"/>
    <w:rsid w:val="00ED0B39"/>
    <w:rsid w:val="00EE0DB8"/>
    <w:rsid w:val="00EE4DAC"/>
    <w:rsid w:val="00EF0A00"/>
    <w:rsid w:val="00F276B1"/>
    <w:rsid w:val="00F42575"/>
    <w:rsid w:val="00F4692B"/>
    <w:rsid w:val="00F5220E"/>
    <w:rsid w:val="00F7106F"/>
    <w:rsid w:val="00F71FDD"/>
    <w:rsid w:val="00F75102"/>
    <w:rsid w:val="00F9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EF"/>
  </w:style>
  <w:style w:type="paragraph" w:styleId="Footer">
    <w:name w:val="footer"/>
    <w:basedOn w:val="Normal"/>
    <w:link w:val="FooterChar"/>
    <w:uiPriority w:val="99"/>
    <w:unhideWhenUsed/>
    <w:rsid w:val="008B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EF"/>
  </w:style>
  <w:style w:type="character" w:styleId="Hyperlink">
    <w:name w:val="Hyperlink"/>
    <w:basedOn w:val="DefaultParagraphFont"/>
    <w:uiPriority w:val="99"/>
    <w:unhideWhenUsed/>
    <w:rsid w:val="00B56B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4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57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290DE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66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37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4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0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59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0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68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13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1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64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6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06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43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2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76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06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65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89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43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7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05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7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32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40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1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2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es.billings@blackbo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forshay@blackbo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ane.crosby@navy.mi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FDD9-3353-4DE7-BDE8-181056E9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Whitlock</dc:creator>
  <cp:lastModifiedBy>daniel.bayley</cp:lastModifiedBy>
  <cp:revision>2</cp:revision>
  <cp:lastPrinted>2015-07-22T12:15:00Z</cp:lastPrinted>
  <dcterms:created xsi:type="dcterms:W3CDTF">2015-08-11T12:51:00Z</dcterms:created>
  <dcterms:modified xsi:type="dcterms:W3CDTF">2015-08-11T12:51:00Z</dcterms:modified>
</cp:coreProperties>
</file>